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BF" w:rsidRDefault="003B7C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103. Bibelk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0"/>
        </w:rPr>
        <w:t>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BK 103</w:t>
      </w:r>
    </w:p>
    <w:p w:rsidR="003B7CBF" w:rsidRDefault="003B7CBF">
      <w:pPr>
        <w:rPr>
          <w:rFonts w:ascii="Arial" w:hAnsi="Arial" w:cs="Arial"/>
          <w:sz w:val="20"/>
        </w:rPr>
      </w:pPr>
    </w:p>
    <w:p w:rsidR="003B7CBF" w:rsidRDefault="003B7CBF" w:rsidP="003B7CBF">
      <w:pPr>
        <w:jc w:val="center"/>
        <w:rPr>
          <w:rFonts w:ascii="Arial" w:hAnsi="Arial" w:cs="Arial"/>
          <w:b/>
          <w:bCs/>
          <w:sz w:val="36"/>
        </w:rPr>
      </w:pPr>
      <w:r w:rsidRPr="003B7CBF">
        <w:rPr>
          <w:rFonts w:ascii="Arial" w:hAnsi="Arial" w:cs="Arial"/>
          <w:b/>
          <w:bCs/>
          <w:sz w:val="36"/>
        </w:rPr>
        <w:t>Wie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arbeitet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der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Heilige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Geist?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–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Teil</w:t>
      </w:r>
      <w:r>
        <w:rPr>
          <w:rFonts w:ascii="Arial" w:hAnsi="Arial" w:cs="Arial"/>
          <w:b/>
          <w:bCs/>
          <w:sz w:val="36"/>
        </w:rPr>
        <w:t xml:space="preserve"> </w:t>
      </w:r>
      <w:r w:rsidRPr="003B7CBF">
        <w:rPr>
          <w:rFonts w:ascii="Arial" w:hAnsi="Arial" w:cs="Arial"/>
          <w:b/>
          <w:bCs/>
          <w:sz w:val="36"/>
        </w:rPr>
        <w:t>3/3</w:t>
      </w:r>
    </w:p>
    <w:p w:rsidR="003B7CBF" w:rsidRPr="003B7CBF" w:rsidRDefault="003B7CBF" w:rsidP="003B7C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CBF" w:rsidRPr="003B7CBF" w:rsidRDefault="003B7CBF" w:rsidP="003B7CBF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sandte,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gehorchten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zogen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Himmelsrichtungen.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gewaltiges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Unternehmen,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Reisen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strapaziös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Gefahren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verbunden.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erfahren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letzten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Bibelkurs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Nr.102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aufgelistet),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Johannes,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Verbannung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Insel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Patmos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starb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Märtyrertod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starben,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verstreut: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Matthäus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Äthiopien,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Markus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Alexandrien,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Lukas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Griechenland,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Rom,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Jakobus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Jerusalem,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Thomas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Indien.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Nachfolger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Israel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ausschickte,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Evangelium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verkünden,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„sandte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Lukas </w:t>
      </w:r>
      <w:r w:rsidRPr="003B7CBF">
        <w:rPr>
          <w:rFonts w:ascii="Arial" w:hAnsi="Arial" w:cs="Arial"/>
          <w:sz w:val="22"/>
          <w:szCs w:val="22"/>
        </w:rPr>
        <w:t>10).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ähnliche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ausgesandt.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Aussendung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Ermutigung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angesichts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gewaltigen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Auftrags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Zusage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 </w:t>
      </w:r>
      <w:r w:rsidRPr="003B7CBF">
        <w:rPr>
          <w:rFonts w:ascii="Arial" w:hAnsi="Arial" w:cs="Arial"/>
          <w:sz w:val="22"/>
          <w:szCs w:val="22"/>
        </w:rPr>
        <w:t>(-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reichte!):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MIR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gegeben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alle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Macht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 w:rsidRPr="003B7CBF">
        <w:rPr>
          <w:rFonts w:ascii="Arial" w:hAnsi="Arial" w:cs="Arial"/>
          <w:b/>
          <w:bCs/>
          <w:sz w:val="22"/>
          <w:szCs w:val="22"/>
        </w:rPr>
        <w:t>im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ganzen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Universum</w:t>
      </w:r>
      <w:r w:rsidRPr="003B7CB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Völkern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predigt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7CBF">
        <w:rPr>
          <w:rFonts w:ascii="Arial" w:hAnsi="Arial" w:cs="Arial"/>
          <w:sz w:val="22"/>
          <w:szCs w:val="22"/>
        </w:rPr>
        <w:t>ihnen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Evangelium.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Siehe,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jedem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Tag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Grenzen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Erde.“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Matthäus </w:t>
      </w:r>
      <w:r w:rsidRPr="003B7CBF">
        <w:rPr>
          <w:rFonts w:ascii="Arial" w:hAnsi="Arial" w:cs="Arial"/>
          <w:sz w:val="22"/>
          <w:szCs w:val="22"/>
        </w:rPr>
        <w:t>28).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buchstäblich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Gewissheit,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großartige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himmlische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Unterstützung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manchmal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einsamem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Posten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stehen“: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3B7CBF" w:rsidRPr="003B7CBF" w:rsidRDefault="003B7CB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allmächtige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gewaltigen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Kosmos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erschaffen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begleitet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Boten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Erteilung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Auftrags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gesagt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Hab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Angst,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dir!“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Mose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feurigen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Busch: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Mose </w:t>
      </w:r>
      <w:r w:rsidRPr="003B7CBF">
        <w:rPr>
          <w:rFonts w:ascii="Arial" w:hAnsi="Arial" w:cs="Arial"/>
          <w:sz w:val="22"/>
          <w:szCs w:val="22"/>
        </w:rPr>
        <w:t>3;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Abraham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Mose </w:t>
      </w:r>
      <w:r w:rsidRPr="003B7CBF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, 4</w:t>
      </w:r>
      <w:r w:rsidRPr="003B7CB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Isaak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Mose </w:t>
      </w:r>
      <w:r w:rsidRPr="003B7CB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, 3</w:t>
      </w:r>
      <w:r w:rsidRPr="003B7CB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Jakob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Mose </w:t>
      </w:r>
      <w:r w:rsidRPr="003B7CBF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5;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Josua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Josua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5</w:t>
      </w:r>
      <w:r w:rsidRPr="003B7CBF">
        <w:rPr>
          <w:rFonts w:ascii="Arial" w:hAnsi="Arial" w:cs="Arial"/>
          <w:sz w:val="22"/>
          <w:szCs w:val="22"/>
        </w:rPr>
        <w:t>+9;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David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Samuel </w:t>
      </w:r>
      <w:r w:rsidRPr="003B7CBF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14;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Gideon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Richter </w:t>
      </w:r>
      <w:r w:rsidRPr="003B7C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6;</w:t>
      </w:r>
      <w:r>
        <w:rPr>
          <w:rFonts w:ascii="Arial" w:hAnsi="Arial" w:cs="Arial"/>
          <w:sz w:val="22"/>
          <w:szCs w:val="22"/>
        </w:rPr>
        <w:t xml:space="preserve"> Psalm </w:t>
      </w:r>
      <w:r w:rsidRPr="003B7CBF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, 4</w:t>
      </w:r>
      <w:r w:rsidRPr="003B7CB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Psalm </w:t>
      </w:r>
      <w:r w:rsidRPr="003B7CBF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, 8</w:t>
      </w:r>
      <w:r w:rsidRPr="003B7CB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Maria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Lukas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8;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Korinth:</w:t>
      </w:r>
      <w:r>
        <w:rPr>
          <w:rFonts w:ascii="Arial" w:hAnsi="Arial" w:cs="Arial"/>
          <w:sz w:val="22"/>
          <w:szCs w:val="22"/>
        </w:rPr>
        <w:t xml:space="preserve"> Apostelgeschichte </w:t>
      </w:r>
      <w:r w:rsidRPr="003B7CBF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0;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erhält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Immanuel,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d.h.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sz w:val="22"/>
          <w:szCs w:val="22"/>
          <w:u w:val="single"/>
        </w:rPr>
        <w:t>Gott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mit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uns</w:t>
      </w:r>
      <w:r w:rsidRPr="003B7CBF">
        <w:rPr>
          <w:rFonts w:ascii="Arial" w:hAnsi="Arial" w:cs="Arial"/>
          <w:sz w:val="22"/>
          <w:szCs w:val="22"/>
        </w:rPr>
        <w:t>“:</w:t>
      </w:r>
      <w:r>
        <w:rPr>
          <w:rFonts w:ascii="Arial" w:hAnsi="Arial" w:cs="Arial"/>
          <w:sz w:val="22"/>
          <w:szCs w:val="22"/>
        </w:rPr>
        <w:t xml:space="preserve"> Matthäus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3).</w:t>
      </w:r>
    </w:p>
    <w:p w:rsidR="003B7CBF" w:rsidRPr="003B7CBF" w:rsidRDefault="003B7CBF">
      <w:pPr>
        <w:numPr>
          <w:ilvl w:val="0"/>
          <w:numId w:val="1"/>
        </w:numPr>
        <w:rPr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selbst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ihnen,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Aussendung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stärker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besiegt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Auferstehung.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lebt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sogar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ihnen.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(siehe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76)</w:t>
      </w:r>
    </w:p>
    <w:p w:rsidR="003B7CBF" w:rsidRPr="003B7CBF" w:rsidRDefault="003B7CBF" w:rsidP="003B7CBF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erfüllt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große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Kraft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gleichem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Ausmaß</w:t>
      </w:r>
      <w:r w:rsidRPr="003B7CB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zeigte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Pfingsten: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bekehren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Predigt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Buße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nehmen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innerlich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Gelähmter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geheilt,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Engel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befreit,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Stephanus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bezeugt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Märtyrer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Sterben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großartige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auferstandenen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ind w:left="360"/>
        <w:rPr>
          <w:b/>
          <w:bCs/>
          <w:sz w:val="22"/>
          <w:szCs w:val="22"/>
        </w:rPr>
      </w:pPr>
    </w:p>
    <w:p w:rsidR="003B7CBF" w:rsidRPr="003B7CBF" w:rsidRDefault="003B7CBF" w:rsidP="002F3482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himmlische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Unterstützung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heute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Verfügung,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aufgenommen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drei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Energiezentren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(Gott-Vater,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Kraftquellen,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niemals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versiegen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3-fache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Sicherheit!)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ausreichenden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Kräften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versorgen: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körperlich,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psychisch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seelisch.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Realität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Fakten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überzeugt,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berühmten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Kapitel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Römerbriefs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triumphierend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Auch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schwierigsten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Situationen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erringen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glänzendsten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Siege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Christus.“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8, </w:t>
      </w:r>
      <w:r w:rsidRPr="003B7CBF">
        <w:rPr>
          <w:rFonts w:ascii="Arial" w:hAnsi="Arial" w:cs="Arial"/>
          <w:sz w:val="22"/>
          <w:szCs w:val="22"/>
        </w:rPr>
        <w:t>37).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denselben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angeschlagen: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eigentlich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sein?“.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(Antwort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letzten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niemand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ganzen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Weltall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gelingt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trennen.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überwinden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Hindernisse!).</w:t>
      </w:r>
    </w:p>
    <w:p w:rsidR="003B7CBF" w:rsidRPr="003B7CBF" w:rsidRDefault="003B7CBF" w:rsidP="003B7CBF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b/>
          <w:bCs/>
          <w:sz w:val="22"/>
          <w:szCs w:val="22"/>
        </w:rPr>
        <w:t>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Christ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niemals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allein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umgeben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Trinität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allmächtigen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auferstandenen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Himmelskraft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Geistes.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klingt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vielleicht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etwas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mystisch,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Mystik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Dienst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Zeugen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verstehen.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todesmutigen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Auftrag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immensen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Leistungen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weitläufigen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Missionsarbeit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realen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Tatsachen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erklären.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35.000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Märtyrer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Jahrhunderte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(siehe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102,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S.2)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bestätigen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ebenso.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heute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gleichen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himmlischen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Verbündeten.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verstehen,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häufig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steht: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Habt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Angst!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Seid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zuversichtlich</w:t>
      </w:r>
      <w:r w:rsidRPr="003B7CBF">
        <w:rPr>
          <w:rFonts w:ascii="Arial" w:hAnsi="Arial" w:cs="Arial"/>
          <w:sz w:val="22"/>
          <w:szCs w:val="22"/>
        </w:rPr>
        <w:t>!“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(Luther: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„Fürchtet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nicht!“)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spirituelle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heute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geändert,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gleiche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geblieben.</w:t>
      </w:r>
    </w:p>
    <w:p w:rsidR="003B7CBF" w:rsidRPr="003B7CBF" w:rsidRDefault="003B7CBF" w:rsidP="003B7CBF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ab/>
        <w:t>Nun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B7CBF">
        <w:rPr>
          <w:rFonts w:ascii="Arial" w:hAnsi="Arial" w:cs="Arial"/>
          <w:sz w:val="22"/>
          <w:szCs w:val="22"/>
        </w:rPr>
        <w:t>einzelnen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entfaltet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Punkten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vorherigen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Bibelkurs)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staunen,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vielfältiger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arbeitet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aufgenommen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(meistens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Tätigkeiten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unterschätzt!).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 w:rsidP="003B7C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B7CBF">
        <w:rPr>
          <w:rFonts w:ascii="Arial" w:hAnsi="Arial" w:cs="Arial"/>
          <w:b/>
          <w:bCs/>
          <w:sz w:val="22"/>
          <w:szCs w:val="22"/>
        </w:rPr>
        <w:lastRenderedPageBreak/>
        <w:t>IV.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göttlicher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Fürsprecher</w:t>
      </w:r>
      <w:r w:rsidRPr="003B7CBF">
        <w:rPr>
          <w:rFonts w:ascii="Arial" w:hAnsi="Arial" w:cs="Arial"/>
          <w:b/>
          <w:bCs/>
          <w:sz w:val="22"/>
          <w:szCs w:val="22"/>
        </w:rPr>
        <w:t>.</w:t>
      </w:r>
    </w:p>
    <w:p w:rsidR="003B7CBF" w:rsidRP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bitten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anderen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Fürsprecher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geben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Ewigkeit.“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6).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meint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Stellvertreter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Luther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übersetzte: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„Tröster“.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Griechischen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Paraklet</w:t>
      </w:r>
      <w:proofErr w:type="spellEnd"/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Lateinischen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Advokat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heißt.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trifft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Bedeutung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setzt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ganz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will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nur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Bestes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Rechtsanwalt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Klienten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erreichen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will!).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lautes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Wesen.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leise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innere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Stimme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kennen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meldet,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Gefahr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zukommt.</w:t>
      </w:r>
    </w:p>
    <w:p w:rsidR="003B7CBF" w:rsidRP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gutes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Beispiel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Arbeitsweise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nennt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Selwyn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Hughes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„Every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Jesus“)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Geschichte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Bathseba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. Samuel </w:t>
      </w:r>
      <w:r w:rsidRPr="003B7CBF">
        <w:rPr>
          <w:rFonts w:ascii="Arial" w:hAnsi="Arial" w:cs="Arial"/>
          <w:sz w:val="22"/>
          <w:szCs w:val="22"/>
        </w:rPr>
        <w:t>11).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König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schöne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Bathseba</w:t>
      </w:r>
      <w:proofErr w:type="spellEnd"/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Hauses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nahm.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sofort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schossen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böse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Kopf.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wollte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unbedingt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Frau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vernünftige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Argumente,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unterstützten.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Psychologen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Fachausdruck: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vernünftige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Begründung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Wünsche“.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Wissenschaftler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herausgebracht,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Fantasie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B7CBF">
        <w:rPr>
          <w:rFonts w:ascii="Arial" w:hAnsi="Arial" w:cs="Arial"/>
          <w:sz w:val="22"/>
          <w:szCs w:val="22"/>
          <w:u w:val="single"/>
        </w:rPr>
        <w:t>zehn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mal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stärker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Wille</w:t>
      </w:r>
      <w:r w:rsidRPr="003B7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träumte,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schön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Bathseba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wäre,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desto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schwächer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Schweigen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bringen,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schweigen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unwillig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zarte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Stimme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hören,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schlimmen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bewahren.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dämpfet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nicht</w:t>
      </w:r>
      <w:r w:rsidRPr="003B7CBF">
        <w:rPr>
          <w:rFonts w:ascii="Arial" w:hAnsi="Arial" w:cs="Arial"/>
          <w:sz w:val="22"/>
          <w:szCs w:val="22"/>
        </w:rPr>
        <w:t>!“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1. Thessalonicher </w:t>
      </w:r>
      <w:r w:rsidRPr="003B7CBF">
        <w:rPr>
          <w:rFonts w:ascii="Arial" w:hAnsi="Arial" w:cs="Arial"/>
          <w:sz w:val="22"/>
          <w:szCs w:val="22"/>
        </w:rPr>
        <w:t>5,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19),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betrübt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Gottes</w:t>
      </w:r>
      <w:r w:rsidRPr="003B7CBF">
        <w:rPr>
          <w:rFonts w:ascii="Arial" w:hAnsi="Arial" w:cs="Arial"/>
          <w:sz w:val="22"/>
          <w:szCs w:val="22"/>
        </w:rPr>
        <w:t>!“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Epheser </w:t>
      </w:r>
      <w:r w:rsidRPr="003B7C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3</w:t>
      </w:r>
      <w:r w:rsidRPr="003B7CBF">
        <w:rPr>
          <w:rFonts w:ascii="Arial" w:hAnsi="Arial" w:cs="Arial"/>
          <w:sz w:val="22"/>
          <w:szCs w:val="22"/>
        </w:rPr>
        <w:t>0).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gekommen“;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gemeldet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häufig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Wenn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Leib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Gerechtigkeit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</w:t>
      </w:r>
      <w:r w:rsidRPr="003B7C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0)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lebendig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hilft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achten.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kleinen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Dingen,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plötzlichen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Blick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gemarterten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blitzartig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Reue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auslöste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Lukas </w:t>
      </w:r>
      <w:r w:rsidRPr="003B7CBF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, 6</w:t>
      </w:r>
      <w:r w:rsidRPr="003B7CBF">
        <w:rPr>
          <w:rFonts w:ascii="Arial" w:hAnsi="Arial" w:cs="Arial"/>
          <w:sz w:val="22"/>
          <w:szCs w:val="22"/>
        </w:rPr>
        <w:t>1).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 w:rsidP="002F3482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„ein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Wahrheit“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7),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bedeutet: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erinnern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Wahrheit,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Wahrheit.“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7).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erinnert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Paraklet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Wahrheit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alles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erinnern,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gesagt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ha</w:t>
      </w:r>
      <w:r w:rsidRPr="003B7CBF">
        <w:rPr>
          <w:rFonts w:ascii="Arial" w:hAnsi="Arial" w:cs="Arial"/>
          <w:sz w:val="22"/>
          <w:szCs w:val="22"/>
        </w:rPr>
        <w:t>be.“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7+26).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wichtig,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hören,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absolute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Wahrheit.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hören,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verführt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entdecken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später: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Irrtum!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Täuschung,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Lüge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gefolgt.“.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alles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erinnern</w:t>
      </w:r>
      <w:r w:rsidRPr="003B7CBF">
        <w:rPr>
          <w:rFonts w:ascii="Arial" w:hAnsi="Arial" w:cs="Arial"/>
          <w:sz w:val="22"/>
          <w:szCs w:val="22"/>
        </w:rPr>
        <w:t>“,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„Lieblingsstellen“.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betonen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bestimmte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Bibelstellen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übermäßig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vernachlässigen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andere.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die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ganze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Wahrheit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kennen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lernen,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Auswahl.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brauchen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Korrektur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Denkens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Handelns,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vergessenen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übersehenen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Wahrheiten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führen.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Abschied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Ältesten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Ephesus,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Jahre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gewirkt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hatte: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unterlassen,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ganzen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Ratschluss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verkünden.“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3B7CB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Sektierer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bestimmte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Kollektion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Bibelworten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verwenden.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Geistes!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lässt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Sünde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erkennen.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Pr="003B7CBF" w:rsidRDefault="003B7CBF" w:rsidP="002F3482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Welt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auftun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über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Sünde</w:t>
      </w:r>
      <w:r w:rsidRPr="003B7CBF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, 8</w:t>
      </w:r>
      <w:r w:rsidRPr="003B7CB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unruhig,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gesündigt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Gewissen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gearbeitet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jemand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stand: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Gesetz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Erkenntnis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Sünde.“</w:t>
      </w:r>
      <w:r>
        <w:rPr>
          <w:rFonts w:ascii="Arial" w:hAnsi="Arial" w:cs="Arial"/>
          <w:sz w:val="22"/>
          <w:szCs w:val="22"/>
        </w:rPr>
        <w:t xml:space="preserve"> Römer </w:t>
      </w:r>
      <w:r w:rsidRPr="003B7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0).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Vernunft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Logik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Sündenerkenntnis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bringen,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braucht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Kraft.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nennt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größte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Sünde</w:t>
      </w:r>
      <w:r w:rsidRPr="003B7C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glauben</w:t>
      </w:r>
      <w:r w:rsidRPr="003B7CBF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, 9</w:t>
      </w:r>
      <w:r w:rsidRPr="003B7C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erschrecken,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meistens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Verbrechen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überzeugt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Jesus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will,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Mittelpunkt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unseres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Lebens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wird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Zentrum,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eigentlich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einnehmen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größte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Sünde!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egozentrisch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Christozentrisch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geprägt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hilft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anzunehmen: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Niemand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kann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Jesus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HERRN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nennen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außer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Geist.</w:t>
      </w:r>
      <w:r w:rsidRPr="003B7CB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3</w:t>
      </w:r>
      <w:r w:rsidRPr="003B7CB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 </w:t>
      </w:r>
      <w:r w:rsidRPr="003B7CBF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lastRenderedPageBreak/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Hoffnung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zerbricht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Schicksalsschlag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getroffen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fängt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reden.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Gottesworte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erinnern</w:t>
      </w:r>
      <w:r>
        <w:rPr>
          <w:rFonts w:ascii="Arial" w:hAnsi="Arial" w:cs="Arial"/>
          <w:sz w:val="22"/>
          <w:szCs w:val="22"/>
        </w:rPr>
        <w:t xml:space="preserve">,  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Korrektur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verhelfen,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Bild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umgestalten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</w:t>
      </w:r>
      <w:r w:rsidRPr="003B7C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8+29).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Erinnerungen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Schrift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helfen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anfangen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grübeln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anderen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vergleichen.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VI.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hilft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beim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Beten</w:t>
      </w:r>
      <w:r w:rsidRPr="003B7CBF">
        <w:rPr>
          <w:rFonts w:ascii="Arial" w:hAnsi="Arial" w:cs="Arial"/>
          <w:b/>
          <w:bCs/>
          <w:sz w:val="22"/>
          <w:szCs w:val="22"/>
        </w:rPr>
        <w:t>.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P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Betet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allezeit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Bitten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Flehen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 w:rsidRPr="003B7CBF">
        <w:rPr>
          <w:rFonts w:ascii="Arial" w:hAnsi="Arial" w:cs="Arial"/>
          <w:sz w:val="22"/>
          <w:szCs w:val="22"/>
        </w:rPr>
        <w:t>...“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Epheser </w:t>
      </w:r>
      <w:r w:rsidRPr="003B7C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Kommunikation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beginnt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desto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gelangen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Reserven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Seele.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bedeutet: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gedrängt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gelenkt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Elieser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Knecht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Abrahams,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Isaak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passende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Frau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suchen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lagerte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Brunnen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wartete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betete.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leichte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Aufgabe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erfüllen.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Mädchen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Karawane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Wasser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versorgen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bestimmt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erwählte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. Mose </w:t>
      </w:r>
      <w:r w:rsidRPr="003B7CBF">
        <w:rPr>
          <w:rFonts w:ascii="Arial" w:hAnsi="Arial" w:cs="Arial"/>
          <w:sz w:val="22"/>
          <w:szCs w:val="22"/>
        </w:rPr>
        <w:t>24).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amerikanischer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Pastor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bedeutet: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gewiss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wichtig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geschenktes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Vorrecht.“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Wünsche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Bitten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korrigieren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lassen.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größten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erlebten,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Bitte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beantwortete: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wollte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Tempel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bauen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. Samuel </w:t>
      </w:r>
      <w:r w:rsidRPr="003B7CB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-13)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durfte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nicht!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wollte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„Pfahl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Fleisch“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befreit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erfuhr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erhielt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etwas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Besseres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12).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Garten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Gethsemane: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„Abba,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Vater,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möglich;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nimm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Kelch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doch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will,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sondern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willst</w:t>
      </w:r>
      <w:r w:rsidRPr="003B7CBF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Markus 1</w:t>
      </w:r>
      <w:r w:rsidRPr="003B7CBF">
        <w:rPr>
          <w:rFonts w:ascii="Arial" w:hAnsi="Arial" w:cs="Arial"/>
          <w:sz w:val="22"/>
          <w:szCs w:val="22"/>
        </w:rPr>
        <w:t>4).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Wünsche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erfüllt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Verheißungen,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Pläne.</w:t>
      </w:r>
    </w:p>
    <w:p w:rsidR="003B7CBF" w:rsidRPr="003B7CBF" w:rsidRDefault="003B7CBF" w:rsidP="002F3482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ab/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erstaunlichsten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Schrift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findet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Römerbrief: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hilft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Schwachheit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wissen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nicht,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beten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sollen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sich’s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gebührt;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selbst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vertritt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unaussprechlichem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Seufzen</w:t>
      </w:r>
      <w:r w:rsidRPr="003B7CBF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</w:t>
      </w:r>
      <w:r w:rsidRPr="003B7C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6).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klingt,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selbst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Wesley,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Luthers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Einleitung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Römer-brief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berühmten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Satz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formuliert: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„Alles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Universum,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Erlösung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gehört,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gewirkt.“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Dinge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Volk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durchkommt,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drängt,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unser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Körper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Tempel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Geistes“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gehört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Tempel,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wird!).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klar: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aufgenommen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wohnt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hilft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fängt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selbst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unterstrichen,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wichtig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selbst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einspringt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natürlich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Trägheit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verführen,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überlassen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anspornen,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fleißig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praktizieren.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Biographien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Martin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Luther,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Georg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Müller,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Wesley,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Kardinal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Henry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Newman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England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(1801-1890),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Amy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Carmichael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Stunden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Thron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verbrachten.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Staatsmann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babylonischen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Weltreich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Daniel </w:t>
      </w:r>
      <w:r w:rsidRPr="003B7C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0-14),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Löwengrube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geworfen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erreicht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Politik.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VII.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gibt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Vorgeschmack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himmlischen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Herrlichkeit.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anderer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Punkt,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beachtet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obwohl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Hinweise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Schrift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gibt.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Stellen: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gläubig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versiegelt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...,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welcher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Unterpfand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unseres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Erbes</w:t>
      </w:r>
      <w:r w:rsidRPr="003B7CBF">
        <w:rPr>
          <w:rFonts w:ascii="Arial" w:hAnsi="Arial" w:cs="Arial"/>
          <w:sz w:val="22"/>
          <w:szCs w:val="22"/>
        </w:rPr>
        <w:t>...“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Epheser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3.14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5</w:t>
      </w:r>
      <w:r w:rsidRPr="003B7CB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„Unterpfand“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Anzahlung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garantiert,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vollen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Auszahlung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rechnen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kann.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lässt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Blick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schwierigen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ausharren.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afrikanischen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Sklavenarbeiter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Baumwollplantagen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durften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Arbeit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Gottesdienst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mussten)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kontrollieren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konnte!),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Hause</w:t>
      </w:r>
      <w:proofErr w:type="gramStart"/>
      <w:r w:rsidRPr="003B7CBF">
        <w:rPr>
          <w:rFonts w:ascii="Arial" w:hAnsi="Arial" w:cs="Arial"/>
          <w:sz w:val="22"/>
          <w:szCs w:val="22"/>
        </w:rPr>
        <w:t>!.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Gottesdiensten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hörten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Evangelium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Jesus-Leute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fingen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Jesus-Lieder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singen: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heute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beliebten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proofErr w:type="spellStart"/>
      <w:r w:rsidRPr="003B7CBF">
        <w:rPr>
          <w:rFonts w:ascii="Arial" w:hAnsi="Arial" w:cs="Arial"/>
          <w:sz w:val="22"/>
          <w:szCs w:val="22"/>
        </w:rPr>
        <w:t>Negro</w:t>
      </w:r>
      <w:proofErr w:type="spellEnd"/>
      <w:r w:rsidRPr="003B7CBF">
        <w:rPr>
          <w:rFonts w:ascii="Arial" w:hAnsi="Arial" w:cs="Arial"/>
          <w:sz w:val="22"/>
          <w:szCs w:val="22"/>
        </w:rPr>
        <w:t>-Spirituals“.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erzählen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Herrlichkeit,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erwartet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proofErr w:type="spellStart"/>
      <w:proofErr w:type="gramEnd"/>
      <w:r w:rsidRPr="003B7CBF">
        <w:rPr>
          <w:rFonts w:ascii="Arial" w:hAnsi="Arial" w:cs="Arial"/>
          <w:sz w:val="22"/>
          <w:szCs w:val="22"/>
        </w:rPr>
        <w:t>When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saints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marching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in...“).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anderen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Sklaven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wehmütige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(„Blues“),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Hoffnungsbotschaft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enthalten.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lastRenderedPageBreak/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jenseitige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Herrlichkeit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wichtiges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Thema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Neuen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Testament,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Realität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(Weltmenschen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halten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psychologische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Träumerei,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Kommunisten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nannten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„Opium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Volk“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obwohl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„Nach-dem-Tod-ist-alles-aus“-Ideologie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Hilfe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Sterben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Hoffnung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gibt).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gleich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Anfang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Abschiedsreden: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Meines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Vaters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Hause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sind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viele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Wohnungen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Stätte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bereiten.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will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nehmen,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seid,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bin</w:t>
      </w:r>
      <w:r w:rsidRPr="003B7CB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-3).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spricht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mehrmals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davon,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seufzen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sehnen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unserer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Erlösung</w:t>
      </w:r>
      <w:r w:rsidRPr="003B7CB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</w:t>
      </w:r>
      <w:r w:rsidRPr="003B7C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überzeugt,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Leiden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fallen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gegenüber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Herrlichkeit,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offenbart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</w:t>
      </w:r>
      <w:r w:rsidRPr="003B7C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8).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Sterben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Gewinn“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Philipper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1).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davon,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„Fremdlinge“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„Gäste“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Bürgerrecht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(unseren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„1.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Wohnsitz“)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Herrlichkeit.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Philipper </w:t>
      </w:r>
      <w:r w:rsidRPr="003B7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0).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Volk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gesprochen.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wohl?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Schönes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bietet,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„Westen“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leben.</w:t>
      </w:r>
    </w:p>
    <w:p w:rsid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  <w:u w:val="single"/>
        </w:rPr>
        <w:t>Jonathan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Edwards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Prediger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Theologie-Professor)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Erweckung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USA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1750)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schrieb: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„Unser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anderes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Reise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Märtyrer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feste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innere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Überzeugung,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gingen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freudig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Tod.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freudigen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Lächeln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Lippen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Abschied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genommen,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Türspalt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Blick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großartige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Herrlichkeit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durften,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erwartet.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Kirchenvater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Augustin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n.Chr.)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sagte: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ganze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echten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Sehnsucht</w:t>
      </w:r>
      <w:r w:rsidRPr="003B7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himmlischen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Heimat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sehnen,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desto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weniger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belasten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Schwierigkeiten,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durchmachen.“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</w:p>
    <w:p w:rsidR="003B7CBF" w:rsidRP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Hebräer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Glaubensvorbilder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Testament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vorgestellt.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fällt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gerade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Abraham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„Vater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Glaubens“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Sehnsucht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Ewigkeit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geschrieben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(9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Verse:</w:t>
      </w:r>
      <w:r>
        <w:rPr>
          <w:rFonts w:ascii="Arial" w:hAnsi="Arial" w:cs="Arial"/>
          <w:sz w:val="22"/>
          <w:szCs w:val="22"/>
        </w:rPr>
        <w:t xml:space="preserve"> Hebräer </w:t>
      </w:r>
      <w:r w:rsidRPr="003B7CB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 8</w:t>
      </w:r>
      <w:r w:rsidRPr="003B7CBF">
        <w:rPr>
          <w:rFonts w:ascii="Arial" w:hAnsi="Arial" w:cs="Arial"/>
          <w:sz w:val="22"/>
          <w:szCs w:val="22"/>
        </w:rPr>
        <w:t>-16).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wohnte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Zelten,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wartete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Stadt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Baumeister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ferne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gesehen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gegrüßt“.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Glaubensmenschen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„sehnen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besseren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Vaterland,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nämlich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himmlischen“.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Glaubensvater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Abraham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lebte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zukunftsorientiert.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bekannt,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Gäste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Fremdlinge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Sehnsucht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himmlischen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Herrlichkeit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typisch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Gläubigen,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Stephanus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Sterben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gerufen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„Siehe,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Menschensohn,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Rechten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stehen“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3B7CB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5</w:t>
      </w:r>
      <w:r w:rsidRPr="003B7CBF">
        <w:rPr>
          <w:rFonts w:ascii="Arial" w:hAnsi="Arial" w:cs="Arial"/>
          <w:sz w:val="22"/>
          <w:szCs w:val="22"/>
        </w:rPr>
        <w:t>6).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 w:rsidP="002F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ab/>
        <w:t>Als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J.Chr</w:t>
      </w:r>
      <w:proofErr w:type="spellEnd"/>
      <w:r w:rsidRPr="003B7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b/>
          <w:bCs/>
          <w:sz w:val="22"/>
          <w:szCs w:val="22"/>
        </w:rPr>
        <w:t>Blumhardt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1852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Möttlingen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Boll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umzog,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entdeckte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Haupteingang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umkränzten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Initialen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württembergischen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Königspaares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Wilhelm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Pauline.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Freunde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deuteten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„Warten“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„Pressieren“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Petrus </w:t>
      </w:r>
      <w:r w:rsidRPr="003B7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2: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Tages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Gottes“).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genau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Theologie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Blumhardts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getroffen,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Wiederkunft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brennendem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Herzen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erwartete.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Scheune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ständig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Kutsche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bereit</w:t>
      </w:r>
      <w:r>
        <w:rPr>
          <w:rFonts w:ascii="Arial" w:hAnsi="Arial" w:cs="Arial"/>
          <w:sz w:val="22"/>
          <w:szCs w:val="22"/>
        </w:rPr>
        <w:t xml:space="preserve">,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kommenden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HERRN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entgegenfahren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wollte.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Schaut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Jesus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Anfänger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Rechten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Thrones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sitzt,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Mut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lasst!“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Hebräer </w:t>
      </w:r>
      <w:r w:rsidRPr="003B7CB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+3).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angesichts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Philippi: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vergesse,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dahinten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jage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vorgesteckten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Ziel,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Siegespreis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himmlischen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Berufung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Jesus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Christus.“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Philipper </w:t>
      </w:r>
      <w:r w:rsidRPr="003B7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3+14)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helfen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Kampf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lenkt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Blick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Ewigkeit.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Leider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ständig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Trubel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umgeben,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brauchen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„abschalten“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„vergessen,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dahinten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Gedanken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Ewigkeit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zuwenden.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VIII.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übernatürlichen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Gaben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Geistes.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P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weites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Feld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zählt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neun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Weisheit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Offenbarung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schwierige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Probleme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löst.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Erkenntnis,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„Durchblick“,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manchen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verwirrenden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geschenkt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Glaube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normale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erwartet.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bestimmte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Krankheiten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beschränkt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Wunder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Prophetie: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bestimmtes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Problem.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Geisterunterscheidung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erkennt,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Ersche</w:t>
      </w:r>
      <w:r>
        <w:rPr>
          <w:rFonts w:ascii="Arial" w:hAnsi="Arial" w:cs="Arial"/>
          <w:sz w:val="22"/>
          <w:szCs w:val="22"/>
        </w:rPr>
        <w:t>i</w:t>
      </w:r>
      <w:r w:rsidRPr="003B7CBF">
        <w:rPr>
          <w:rFonts w:ascii="Arial" w:hAnsi="Arial" w:cs="Arial"/>
          <w:sz w:val="22"/>
          <w:szCs w:val="22"/>
        </w:rPr>
        <w:t>nung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stammt,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sogar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dämonischer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Quelle.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Zungenreden</w:t>
      </w:r>
      <w:r w:rsidRPr="003B7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Auslegung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Zungenrede.</w:t>
      </w:r>
    </w:p>
    <w:p w:rsidR="003B7CBF" w:rsidRPr="003B7CBF" w:rsidRDefault="003B7CBF" w:rsidP="003B7C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Ermessen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Gläubigen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zuteilt.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Niemand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niemand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erhalten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lastRenderedPageBreak/>
        <w:t>sehr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unterschiedlichen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Neid,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Rechthaberei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Auseinandersetzungen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gekommen.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schließt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Thema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„Strebt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größeren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Gaben!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besseren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Weg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zeigen.“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folgt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„Hohelied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1.Korinther13,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abschließend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Satz: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Liebe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größte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ihnen.“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IX.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beschenkt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göttlichen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Liebe</w:t>
      </w:r>
      <w:r w:rsidRPr="003B7CBF">
        <w:rPr>
          <w:rFonts w:ascii="Arial" w:hAnsi="Arial" w:cs="Arial"/>
          <w:b/>
          <w:bCs/>
          <w:sz w:val="22"/>
          <w:szCs w:val="22"/>
        </w:rPr>
        <w:t>.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Default="003B7CBF" w:rsidP="003B7CBF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„Hoffnung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lässt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zuschanden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Liebe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ausgegossen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unsere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Herzen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 w:rsidRPr="003B7CB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Römer </w:t>
      </w:r>
      <w:r w:rsidRPr="003B7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5</w:t>
      </w:r>
      <w:r w:rsidRPr="003B7CB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modernen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treffend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übersetzt: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kommt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wie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ein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Wolkenbruch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genug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Container,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aufzufangen.“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(„Message“).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Abschieds-reden: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Daran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wird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jedermann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erkennen,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Jünger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seid,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wenn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Liebe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unter-einander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habt</w:t>
      </w:r>
      <w:r w:rsidRPr="003B7CBF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, 3</w:t>
      </w:r>
      <w:r w:rsidRPr="003B7CBF">
        <w:rPr>
          <w:rFonts w:ascii="Arial" w:hAnsi="Arial" w:cs="Arial"/>
          <w:sz w:val="22"/>
          <w:szCs w:val="22"/>
        </w:rPr>
        <w:t>5).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Schluss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Bergpredigt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betont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Früchten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Gaben)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echten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Nachfolger)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erkennen“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Matthäus </w:t>
      </w:r>
      <w:r w:rsidRPr="003B7CB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Frucht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Galater </w:t>
      </w:r>
      <w:r w:rsidRPr="003B7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</w:t>
      </w:r>
      <w:r w:rsidRPr="003B7CBF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Furcht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. Johannes </w:t>
      </w:r>
      <w:r w:rsidRPr="003B7CBF"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18).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große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Anblick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Gekreuzigten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entstanden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Theresa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Avila</w:t>
      </w:r>
      <w:proofErr w:type="spellEnd"/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Graf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Zinzendorf),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berühmtesten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Bibelstelle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zusammengefasst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So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hat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Welt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geliebt,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Seinen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eingeborenen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Sohn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dahingab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(ans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Kreuz),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glauben,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verloren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ewige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haben.“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6).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bekennt: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Liebe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Christi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drängt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uns“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Versöhnung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bringen.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(.2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4).</w:t>
      </w:r>
    </w:p>
    <w:p w:rsidR="002F3482" w:rsidRDefault="003B7CBF" w:rsidP="002F3482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Gottesgeschenk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Nächstenliebe</w:t>
      </w:r>
      <w:r w:rsidRPr="003B7CB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ganzen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ausgewirkt.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Soziologe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ganzes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Kapitel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Überschrift: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„Barmherzigkeit: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Innovation“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(A.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Schmidt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Christentum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veränderte“).Von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Krankenhäuser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(4.Jahrh.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n.Chr.),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Waisenhäuser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(313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n.Chr.)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Altenheime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(550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n.Chr.)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eingerichtet.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Georg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Müller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Bristol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gründete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zahlreiche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Waisenhäuser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(nach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Vorbild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Aug</w:t>
      </w:r>
      <w:r>
        <w:rPr>
          <w:rFonts w:ascii="Arial" w:hAnsi="Arial" w:cs="Arial"/>
          <w:sz w:val="22"/>
          <w:szCs w:val="22"/>
        </w:rPr>
        <w:t xml:space="preserve">ust </w:t>
      </w:r>
      <w:r w:rsidRPr="003B7CBF">
        <w:rPr>
          <w:rFonts w:ascii="Arial" w:hAnsi="Arial" w:cs="Arial"/>
          <w:sz w:val="22"/>
          <w:szCs w:val="22"/>
        </w:rPr>
        <w:t>Herm</w:t>
      </w:r>
      <w:r>
        <w:rPr>
          <w:rFonts w:ascii="Arial" w:hAnsi="Arial" w:cs="Arial"/>
          <w:sz w:val="22"/>
          <w:szCs w:val="22"/>
        </w:rPr>
        <w:t xml:space="preserve">ann </w:t>
      </w:r>
      <w:r w:rsidRPr="003B7CBF">
        <w:rPr>
          <w:rFonts w:ascii="Arial" w:hAnsi="Arial" w:cs="Arial"/>
          <w:sz w:val="22"/>
          <w:szCs w:val="22"/>
        </w:rPr>
        <w:t>Francke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Halle)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versorgte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8.000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Waisenkinder.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Gründer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„Roten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Kreuzes“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Henri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Dunant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(1828-1910).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Ähnliche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Initiativen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anderen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Religionen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bekannt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(oder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kopiert)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„Nächstenliebe“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typisch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christlich.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Zeichen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dafür,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Christus-Menschen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wirksam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geworden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 w:rsidP="002F3482">
      <w:pPr>
        <w:ind w:firstLine="708"/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Christus-Liebe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Antriebskraft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unzählige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Missionare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Völkern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schwierigsten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Bedingungen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bringen.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junge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  <w:u w:val="single"/>
        </w:rPr>
        <w:t>Zinzendorf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erhielt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Impuls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Mission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Anblick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Gemäldes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gekreuzigten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Untertitel: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dich,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tust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Mich</w:t>
      </w:r>
      <w:proofErr w:type="spellEnd"/>
      <w:r w:rsidRPr="003B7CBF">
        <w:rPr>
          <w:rFonts w:ascii="Arial" w:hAnsi="Arial" w:cs="Arial"/>
          <w:sz w:val="22"/>
          <w:szCs w:val="22"/>
        </w:rPr>
        <w:t>?“.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Jahre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1760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Herrnhut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1200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Einwohnern)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226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Missionare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gesandt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worden.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„Idealisten“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weltliche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Stimmen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sagen),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Idee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Triebkraft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Hintergrund,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auferstandene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Arbeit,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wirkt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definiert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gleich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Anfang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seines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Evangeliums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Worten: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</w:t>
      </w:r>
      <w:r w:rsidRPr="003B7CBF">
        <w:rPr>
          <w:rFonts w:ascii="Arial" w:hAnsi="Arial" w:cs="Arial"/>
          <w:b/>
          <w:bCs/>
          <w:sz w:val="22"/>
          <w:szCs w:val="22"/>
        </w:rPr>
        <w:t>Wie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viele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aufnahmen,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gab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Macht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Söhne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Töchter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werden.“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3B7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Mitglied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göttlichen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Familie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erhält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Energie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Himmel</w:t>
      </w:r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welche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Wissenschaft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kennt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irdischen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Kräfte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Schatten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stellt.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b/>
          <w:bCs/>
          <w:sz w:val="22"/>
          <w:szCs w:val="22"/>
        </w:rPr>
        <w:t>X.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liebt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es,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die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Heilige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  <w:u w:val="single"/>
        </w:rPr>
        <w:t>Schrift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arbeiten.</w:t>
      </w:r>
    </w:p>
    <w:p w:rsidR="003B7CBF" w:rsidRPr="003B7CBF" w:rsidRDefault="003B7CBF">
      <w:pPr>
        <w:rPr>
          <w:rFonts w:ascii="Arial" w:hAnsi="Arial" w:cs="Arial"/>
          <w:b/>
          <w:bCs/>
          <w:sz w:val="22"/>
          <w:szCs w:val="22"/>
        </w:rPr>
      </w:pPr>
    </w:p>
    <w:p w:rsidR="003B7CBF" w:rsidRPr="003B7CBF" w:rsidRDefault="003B7CBF" w:rsidP="002F3482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beschreibt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Epheser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Ausrüstung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Christen,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notwendig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Böse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siegen.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schließt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Satz: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nehmt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Schwert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Geistes,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welches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WORT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Gottes.“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Epheser </w:t>
      </w:r>
      <w:r w:rsidRPr="003B7C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7).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Schwert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Bild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Angriffswaffe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römischen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Soldaten.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Schwert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verwendet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liebsten,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Satan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besiegen.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Versuchung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siegreich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benützt.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Teufel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verwendete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Psalm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unbedingt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notwendig,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Gotteswort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scharfes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Schwert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brauchen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Verkündigung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persönliche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Bibellese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sonst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bleibt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Wort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toter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Buchstabe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Reden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Geschwätz.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ziemlich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drastisch: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Buchstabe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tötet,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macht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lebendig</w:t>
      </w:r>
      <w:r w:rsidRPr="003B7CB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3B7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6</w:t>
      </w:r>
      <w:r w:rsidRPr="003B7CB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B7CB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hilft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uns,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Gedächtnis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behalten:</w:t>
      </w:r>
    </w:p>
    <w:p w:rsidR="003B7CBF" w:rsidRPr="003B7CBF" w:rsidRDefault="003B7CBF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große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Kraft.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aufgenommen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hat,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besitzt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Kraft.</w:t>
      </w:r>
    </w:p>
    <w:p w:rsidR="003B7CBF" w:rsidRPr="003B7CBF" w:rsidRDefault="003B7CBF" w:rsidP="002F3482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lastRenderedPageBreak/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besonderen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Situationen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Gott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darum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CBF">
        <w:rPr>
          <w:rFonts w:ascii="Arial" w:hAnsi="Arial" w:cs="Arial"/>
          <w:b/>
          <w:bCs/>
          <w:sz w:val="22"/>
          <w:szCs w:val="22"/>
        </w:rPr>
        <w:t>bitten</w:t>
      </w:r>
      <w:r w:rsidRPr="003B7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Himmel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geben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denen,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darum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bitten“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(Luk</w:t>
      </w:r>
      <w:r w:rsidR="002F3482">
        <w:rPr>
          <w:rFonts w:ascii="Arial" w:hAnsi="Arial" w:cs="Arial"/>
          <w:sz w:val="22"/>
          <w:szCs w:val="22"/>
        </w:rPr>
        <w:t xml:space="preserve">as </w:t>
      </w:r>
      <w:r w:rsidRPr="003B7CB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 1</w:t>
      </w:r>
      <w:r w:rsidRPr="003B7CBF">
        <w:rPr>
          <w:rFonts w:ascii="Arial" w:hAnsi="Arial" w:cs="Arial"/>
          <w:sz w:val="22"/>
          <w:szCs w:val="22"/>
        </w:rPr>
        <w:t>3).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</w:p>
    <w:p w:rsidR="002F3482" w:rsidRPr="003B7CBF" w:rsidRDefault="003B7CBF" w:rsidP="002F3482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März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2010</w:t>
      </w:r>
      <w:r w:rsidRPr="003B7CBF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ab/>
      </w:r>
      <w:r w:rsidR="002F3482">
        <w:rPr>
          <w:rFonts w:ascii="Arial" w:hAnsi="Arial" w:cs="Arial"/>
          <w:sz w:val="22"/>
          <w:szCs w:val="22"/>
        </w:rPr>
        <w:tab/>
      </w:r>
      <w:r w:rsidR="002F3482">
        <w:rPr>
          <w:rFonts w:ascii="Arial" w:hAnsi="Arial" w:cs="Arial"/>
          <w:sz w:val="22"/>
          <w:szCs w:val="22"/>
        </w:rPr>
        <w:tab/>
      </w:r>
      <w:r w:rsidR="002F3482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ab/>
      </w:r>
      <w:r w:rsidRPr="003B7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B7CBF">
        <w:rPr>
          <w:rFonts w:ascii="Arial" w:hAnsi="Arial" w:cs="Arial"/>
          <w:sz w:val="22"/>
          <w:szCs w:val="22"/>
        </w:rPr>
        <w:t>Pfr</w:t>
      </w:r>
      <w:proofErr w:type="spellEnd"/>
      <w:r w:rsidRPr="003B7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Gerhard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Hägel</w:t>
      </w:r>
      <w:proofErr w:type="spellEnd"/>
      <w:r w:rsidRPr="003B7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CBF">
        <w:rPr>
          <w:rFonts w:ascii="Arial" w:hAnsi="Arial" w:cs="Arial"/>
          <w:sz w:val="22"/>
          <w:szCs w:val="22"/>
        </w:rPr>
        <w:t>Bobengrün</w:t>
      </w:r>
      <w:bookmarkStart w:id="0" w:name="_GoBack"/>
      <w:bookmarkEnd w:id="0"/>
      <w:proofErr w:type="spellEnd"/>
    </w:p>
    <w:p w:rsidR="003B7CBF" w:rsidRPr="003B7CBF" w:rsidRDefault="003B7C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3B7CBF" w:rsidRPr="003B7CBF" w:rsidRDefault="003B7CBF" w:rsidP="002F3482">
      <w:pPr>
        <w:rPr>
          <w:rFonts w:ascii="Arial" w:hAnsi="Arial" w:cs="Arial"/>
          <w:sz w:val="22"/>
          <w:szCs w:val="22"/>
        </w:rPr>
      </w:pPr>
      <w:r w:rsidRPr="003B7CBF">
        <w:rPr>
          <w:rFonts w:ascii="Arial" w:hAnsi="Arial" w:cs="Arial"/>
          <w:sz w:val="22"/>
          <w:szCs w:val="22"/>
        </w:rPr>
        <w:t>Nächster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Termin: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Sa.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24.4.2010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19.30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Uhr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„Christus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prägt</w:t>
      </w:r>
      <w:r>
        <w:rPr>
          <w:rFonts w:ascii="Arial" w:hAnsi="Arial" w:cs="Arial"/>
          <w:sz w:val="22"/>
          <w:szCs w:val="22"/>
        </w:rPr>
        <w:t xml:space="preserve"> </w:t>
      </w:r>
      <w:r w:rsidRPr="003B7CBF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="002F3482">
        <w:rPr>
          <w:rFonts w:ascii="Arial" w:hAnsi="Arial" w:cs="Arial"/>
          <w:sz w:val="22"/>
          <w:szCs w:val="22"/>
        </w:rPr>
        <w:t>Charakter“</w:t>
      </w:r>
    </w:p>
    <w:sectPr w:rsidR="003B7CBF" w:rsidRPr="003B7CBF"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F17"/>
    <w:multiLevelType w:val="hybridMultilevel"/>
    <w:tmpl w:val="E872E31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AB34BB7"/>
    <w:multiLevelType w:val="hybridMultilevel"/>
    <w:tmpl w:val="FC7225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92D1EE9"/>
    <w:multiLevelType w:val="hybridMultilevel"/>
    <w:tmpl w:val="1974E07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63640FC"/>
    <w:multiLevelType w:val="hybridMultilevel"/>
    <w:tmpl w:val="69C4F5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BF"/>
    <w:rsid w:val="002F3482"/>
    <w:rsid w:val="003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3453</Words>
  <Characters>21754</Characters>
  <Application>Microsoft Office Word</Application>
  <DocSecurity>4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103/104 - Wie arbeitet der Heilige Geist? – Teil 3/3</vt:lpstr>
    </vt:vector>
  </TitlesOfParts>
  <Company>Bobengrün</Company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103/104 - Wie arbeitet der Heilige Geist? – Teil 3/3</dc:title>
  <dc:creator>Gerhard Hägel</dc:creator>
  <cp:lastModifiedBy>Me</cp:lastModifiedBy>
  <cp:revision>2</cp:revision>
  <cp:lastPrinted>2010-03-02T18:26:00Z</cp:lastPrinted>
  <dcterms:created xsi:type="dcterms:W3CDTF">2022-10-27T20:07:00Z</dcterms:created>
  <dcterms:modified xsi:type="dcterms:W3CDTF">2022-10-27T20:07:00Z</dcterms:modified>
</cp:coreProperties>
</file>